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1C373" w14:textId="742E7EF8" w:rsidR="004C63E1" w:rsidRPr="004C63E1" w:rsidRDefault="00A446A3" w:rsidP="004C63E1">
      <w:pPr>
        <w:numPr>
          <w:ilvl w:val="0"/>
          <w:numId w:val="1"/>
        </w:numPr>
        <w:spacing w:before="100" w:beforeAutospacing="1" w:afterLines="160" w:after="384"/>
        <w:ind w:left="945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>Note that s</w:t>
      </w:r>
      <w:r w:rsidRPr="00D1742F">
        <w:rPr>
          <w:rFonts w:ascii="Helvetica" w:eastAsia="Times New Roman" w:hAnsi="Helvetica" w:cs="Times New Roman"/>
          <w:color w:val="000000"/>
          <w:sz w:val="22"/>
          <w:szCs w:val="22"/>
        </w:rPr>
        <w:t>tudents may have applied to our MS program because they are unaware that they are eligible for the PhD program with a bachelor's degree or have been erroneously advised that they need to obtain an MS before beginning PhD studies</w:t>
      </w:r>
    </w:p>
    <w:p w14:paraId="6F2BA2F6" w14:textId="2EED14E0" w:rsidR="004C63E1" w:rsidRPr="004C63E1" w:rsidRDefault="00D1742F" w:rsidP="004C63E1">
      <w:pPr>
        <w:numPr>
          <w:ilvl w:val="0"/>
          <w:numId w:val="1"/>
        </w:numPr>
        <w:spacing w:before="100" w:beforeAutospacing="1" w:afterLines="160" w:after="384"/>
        <w:ind w:left="945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>B</w:t>
      </w:r>
      <w:r w:rsidR="00A446A3" w:rsidRPr="004C63E1">
        <w:rPr>
          <w:rFonts w:ascii="Helvetica" w:eastAsia="Times New Roman" w:hAnsi="Helvetica" w:cs="Times New Roman"/>
          <w:color w:val="000000"/>
          <w:sz w:val="22"/>
          <w:szCs w:val="22"/>
        </w:rPr>
        <w:t>e on the lookout for b</w:t>
      </w:r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ias </w:t>
      </w:r>
      <w:r w:rsidR="00A446A3" w:rsidRPr="004C63E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pitfalls </w:t>
      </w:r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>in letter writing</w:t>
      </w:r>
      <w:r w:rsidR="00A446A3" w:rsidRPr="004C63E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(see handout on the back)</w:t>
      </w:r>
    </w:p>
    <w:p w14:paraId="544BF2AC" w14:textId="678BB405" w:rsidR="00A446A3" w:rsidRPr="004C63E1" w:rsidRDefault="00D1742F" w:rsidP="004C63E1">
      <w:pPr>
        <w:numPr>
          <w:ilvl w:val="0"/>
          <w:numId w:val="1"/>
        </w:numPr>
        <w:spacing w:before="100" w:beforeAutospacing="1" w:afterLines="160" w:after="384"/>
        <w:ind w:left="945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When reading application essays, </w:t>
      </w:r>
      <w:r w:rsidRPr="00D1742F">
        <w:rPr>
          <w:rFonts w:ascii="Arial" w:eastAsia="Times New Roman" w:hAnsi="Arial" w:cs="Arial"/>
          <w:color w:val="000000"/>
          <w:sz w:val="22"/>
          <w:szCs w:val="22"/>
        </w:rPr>
        <w:t xml:space="preserve">consider </w:t>
      </w:r>
      <w:r w:rsidRPr="004C63E1">
        <w:rPr>
          <w:rFonts w:ascii="Arial" w:eastAsia="Times New Roman" w:hAnsi="Arial" w:cs="Arial"/>
          <w:color w:val="000000"/>
          <w:sz w:val="22"/>
          <w:szCs w:val="22"/>
        </w:rPr>
        <w:t>that</w:t>
      </w:r>
      <w:r w:rsidRPr="00D1742F">
        <w:rPr>
          <w:rFonts w:ascii="Arial" w:eastAsia="Times New Roman" w:hAnsi="Arial" w:cs="Arial"/>
          <w:color w:val="000000"/>
          <w:sz w:val="22"/>
          <w:szCs w:val="22"/>
        </w:rPr>
        <w:t xml:space="preserve"> access to resources, cultural norms, </w:t>
      </w:r>
      <w:r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gender, </w:t>
      </w:r>
      <w:r w:rsidRPr="00D1742F">
        <w:rPr>
          <w:rFonts w:ascii="Arial" w:eastAsia="Times New Roman" w:hAnsi="Arial" w:cs="Arial"/>
          <w:color w:val="000000"/>
          <w:sz w:val="22"/>
          <w:szCs w:val="22"/>
        </w:rPr>
        <w:t>etc</w:t>
      </w:r>
      <w:r w:rsidRPr="004C63E1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D1742F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have been shown to </w:t>
      </w:r>
      <w:r w:rsidRPr="00D1742F">
        <w:rPr>
          <w:rFonts w:ascii="Arial" w:eastAsia="Times New Roman" w:hAnsi="Arial" w:cs="Arial"/>
          <w:color w:val="000000"/>
          <w:sz w:val="22"/>
          <w:szCs w:val="22"/>
        </w:rPr>
        <w:t>impact the way applicants discuss themselves</w:t>
      </w:r>
      <w:r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 and their scientific accomplishments</w:t>
      </w:r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. </w:t>
      </w:r>
      <w:r w:rsidR="00A446A3" w:rsidRPr="004C63E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(e.g., NYT article today </w:t>
      </w:r>
      <w:r w:rsidR="00A446A3" w:rsidRPr="004C63E1">
        <w:rPr>
          <w:rFonts w:ascii="Helvetica" w:eastAsia="Times New Roman" w:hAnsi="Helvetica" w:cs="Times New Roman"/>
          <w:color w:val="0000FF"/>
          <w:sz w:val="22"/>
          <w:szCs w:val="22"/>
          <w:u w:val="single"/>
        </w:rPr>
        <w:fldChar w:fldCharType="begin"/>
      </w:r>
      <w:r w:rsidR="00A446A3" w:rsidRPr="004C63E1">
        <w:rPr>
          <w:rFonts w:ascii="Helvetica" w:eastAsia="Times New Roman" w:hAnsi="Helvetica" w:cs="Times New Roman"/>
          <w:color w:val="0000FF"/>
          <w:sz w:val="22"/>
          <w:szCs w:val="22"/>
          <w:u w:val="single"/>
        </w:rPr>
        <w:instrText xml:space="preserve"> HYPERLINK "</w:instrText>
      </w:r>
      <w:r w:rsidR="00A446A3" w:rsidRPr="004C63E1">
        <w:rPr>
          <w:rFonts w:ascii="Helvetica" w:eastAsia="Times New Roman" w:hAnsi="Helvetica" w:cs="Times New Roman"/>
          <w:color w:val="0000FF"/>
          <w:sz w:val="22"/>
          <w:szCs w:val="22"/>
          <w:u w:val="single"/>
        </w:rPr>
        <w:instrText>https://www.nytimes.com/2019/12/17/opinion/gender-science-study.html?fbclid=IwAR3yi3pkEx6GYXgX6l1gFZ4fRvzhAxmGOE77Q--5WJBJXh7uLRH72w3ssGw</w:instrText>
      </w:r>
      <w:r w:rsidR="00A446A3" w:rsidRPr="004C63E1">
        <w:rPr>
          <w:rFonts w:ascii="Helvetica" w:eastAsia="Times New Roman" w:hAnsi="Helvetica" w:cs="Times New Roman"/>
          <w:color w:val="0000FF"/>
          <w:sz w:val="22"/>
          <w:szCs w:val="22"/>
          <w:u w:val="single"/>
        </w:rPr>
        <w:instrText xml:space="preserve">" </w:instrText>
      </w:r>
      <w:r w:rsidR="00A446A3" w:rsidRPr="004C63E1">
        <w:rPr>
          <w:rFonts w:ascii="Helvetica" w:eastAsia="Times New Roman" w:hAnsi="Helvetica" w:cs="Times New Roman"/>
          <w:color w:val="0000FF"/>
          <w:sz w:val="22"/>
          <w:szCs w:val="22"/>
          <w:u w:val="single"/>
        </w:rPr>
        <w:fldChar w:fldCharType="separate"/>
      </w:r>
      <w:r w:rsidR="00A446A3" w:rsidRPr="004C63E1">
        <w:rPr>
          <w:rStyle w:val="Hyperlink"/>
          <w:rFonts w:ascii="Helvetica" w:eastAsia="Times New Roman" w:hAnsi="Helvetica" w:cs="Times New Roman"/>
          <w:sz w:val="22"/>
          <w:szCs w:val="22"/>
        </w:rPr>
        <w:t>https://www.nytimes.com/2019/12/17/opinion/gender-science-study.html?fbclid=IwAR3yi3pkEx6GYXgX6l1gFZ4fRvzhAxmGOE77Q--5WJBJXh7uLRH72w3ssGw</w:t>
      </w:r>
      <w:r w:rsidR="00A446A3" w:rsidRPr="004C63E1">
        <w:rPr>
          <w:rFonts w:ascii="Helvetica" w:eastAsia="Times New Roman" w:hAnsi="Helvetica" w:cs="Times New Roman"/>
          <w:color w:val="0000FF"/>
          <w:sz w:val="22"/>
          <w:szCs w:val="22"/>
          <w:u w:val="single"/>
        </w:rPr>
        <w:fldChar w:fldCharType="end"/>
      </w:r>
      <w:r w:rsidR="00A446A3" w:rsidRPr="004C63E1">
        <w:rPr>
          <w:rFonts w:ascii="Helvetica" w:eastAsia="Times New Roman" w:hAnsi="Helvetica" w:cs="Times New Roman"/>
          <w:color w:val="000000"/>
          <w:sz w:val="22"/>
          <w:szCs w:val="22"/>
        </w:rPr>
        <w:t> </w:t>
      </w:r>
      <w:r w:rsidR="00A446A3" w:rsidRPr="004C63E1">
        <w:rPr>
          <w:rFonts w:ascii="Helvetica" w:eastAsia="Times New Roman" w:hAnsi="Helvetica" w:cs="Times New Roman"/>
          <w:color w:val="000000"/>
          <w:sz w:val="22"/>
          <w:szCs w:val="22"/>
        </w:rPr>
        <w:t>citing research on how women tend to be less assertive in writing, and men disproportionately describe their scientific work in positive terms,</w:t>
      </w:r>
    </w:p>
    <w:p w14:paraId="4762654B" w14:textId="6B5CF7A5" w:rsidR="00D1742F" w:rsidRPr="004C63E1" w:rsidRDefault="00A446A3" w:rsidP="004C63E1">
      <w:pPr>
        <w:numPr>
          <w:ilvl w:val="0"/>
          <w:numId w:val="1"/>
        </w:numPr>
        <w:spacing w:before="100" w:beforeAutospacing="1" w:afterLines="160" w:after="384"/>
        <w:ind w:left="945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Apply the </w:t>
      </w:r>
      <w:r w:rsidR="00D1742F" w:rsidRPr="00D1742F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holistic review guidelines from our colleagues in </w:t>
      </w:r>
      <w:proofErr w:type="spellStart"/>
      <w:r w:rsidR="00D1742F" w:rsidRPr="00D1742F">
        <w:rPr>
          <w:rFonts w:ascii="Helvetica" w:eastAsia="Times New Roman" w:hAnsi="Helvetica" w:cs="Times New Roman"/>
          <w:color w:val="000000"/>
          <w:sz w:val="22"/>
          <w:szCs w:val="22"/>
        </w:rPr>
        <w:t>BioEngineering</w:t>
      </w:r>
      <w:proofErr w:type="spellEnd"/>
      <w:r w:rsidR="00D1742F" w:rsidRPr="00D1742F">
        <w:rPr>
          <w:rFonts w:ascii="Helvetica" w:eastAsia="Times New Roman" w:hAnsi="Helvetica" w:cs="Times New Roman"/>
          <w:color w:val="000000"/>
          <w:sz w:val="22"/>
          <w:szCs w:val="22"/>
        </w:rPr>
        <w:t>, and information about holistic admissions review from the Graduate School</w:t>
      </w:r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(email today from </w:t>
      </w:r>
      <w:proofErr w:type="spellStart"/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>Noell</w:t>
      </w:r>
      <w:proofErr w:type="spellEnd"/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). </w:t>
      </w:r>
    </w:p>
    <w:p w14:paraId="0F769057" w14:textId="2844F816" w:rsidR="004C63E1" w:rsidRPr="004C63E1" w:rsidRDefault="00A446A3" w:rsidP="004C63E1">
      <w:pPr>
        <w:numPr>
          <w:ilvl w:val="0"/>
          <w:numId w:val="1"/>
        </w:numPr>
        <w:spacing w:before="100" w:beforeAutospacing="1" w:afterLines="160" w:after="384"/>
        <w:ind w:left="945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>Consider writing an informal rubric (with criteria for evaluation) so you know what you are looking for before reviewing applications.</w:t>
      </w:r>
      <w:r w:rsidR="004C63E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 </w:t>
      </w:r>
      <w:r w:rsidR="004C63E1"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The </w:t>
      </w:r>
      <w:r w:rsidR="004C63E1" w:rsidRPr="004C63E1">
        <w:rPr>
          <w:rFonts w:ascii="Arial" w:eastAsia="Times New Roman" w:hAnsi="Arial" w:cs="Arial"/>
          <w:i/>
          <w:iCs/>
          <w:color w:val="000000"/>
          <w:sz w:val="22"/>
          <w:szCs w:val="22"/>
        </w:rPr>
        <w:t>distance a student has traveled</w:t>
      </w:r>
      <w:r w:rsidR="004C63E1"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 to get where there are is a great predictor of success in graduate school</w:t>
      </w:r>
      <w:bookmarkStart w:id="0" w:name="_GoBack"/>
      <w:bookmarkEnd w:id="0"/>
    </w:p>
    <w:p w14:paraId="34B2EE63" w14:textId="77777777" w:rsidR="00D1742F" w:rsidRPr="004C63E1" w:rsidRDefault="00D1742F" w:rsidP="004C63E1">
      <w:pPr>
        <w:numPr>
          <w:ilvl w:val="0"/>
          <w:numId w:val="1"/>
        </w:numPr>
        <w:snapToGrid w:val="0"/>
        <w:spacing w:before="100" w:beforeAutospacing="1"/>
        <w:ind w:left="945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Regarding </w:t>
      </w:r>
      <w:r w:rsidRPr="00D1742F">
        <w:rPr>
          <w:rFonts w:ascii="Arial" w:eastAsia="Times New Roman" w:hAnsi="Arial" w:cs="Arial"/>
          <w:color w:val="000000"/>
          <w:sz w:val="22"/>
          <w:szCs w:val="22"/>
        </w:rPr>
        <w:t>the GRE</w:t>
      </w:r>
      <w:r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, note that </w:t>
      </w:r>
    </w:p>
    <w:p w14:paraId="5C6E9B61" w14:textId="6BA01A39" w:rsidR="00D1742F" w:rsidRPr="004C63E1" w:rsidRDefault="00D1742F" w:rsidP="004C63E1">
      <w:pPr>
        <w:numPr>
          <w:ilvl w:val="1"/>
          <w:numId w:val="1"/>
        </w:numPr>
        <w:snapToGrid w:val="0"/>
        <w:spacing w:before="100" w:beforeAutospacing="1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Many of our peers have eliminated the GRE requirement, and </w:t>
      </w:r>
      <w:proofErr w:type="spellStart"/>
      <w:r w:rsidRPr="004C63E1">
        <w:rPr>
          <w:rFonts w:ascii="Arial" w:eastAsia="Times New Roman" w:hAnsi="Arial" w:cs="Arial"/>
          <w:color w:val="000000"/>
          <w:sz w:val="22"/>
          <w:szCs w:val="22"/>
        </w:rPr>
        <w:t>CoENV</w:t>
      </w:r>
      <w:proofErr w:type="spellEnd"/>
      <w:r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 is considering </w:t>
      </w:r>
      <w:proofErr w:type="spellStart"/>
      <w:r w:rsidRPr="004C63E1">
        <w:rPr>
          <w:rFonts w:ascii="Arial" w:eastAsia="Times New Roman" w:hAnsi="Arial" w:cs="Arial"/>
          <w:color w:val="000000"/>
          <w:sz w:val="22"/>
          <w:szCs w:val="22"/>
        </w:rPr>
        <w:t>GRExit</w:t>
      </w:r>
      <w:proofErr w:type="spellEnd"/>
    </w:p>
    <w:p w14:paraId="3ECD1C37" w14:textId="08AD04EC" w:rsidR="00D1742F" w:rsidRPr="004C63E1" w:rsidRDefault="00D1742F" w:rsidP="004C63E1">
      <w:pPr>
        <w:numPr>
          <w:ilvl w:val="1"/>
          <w:numId w:val="1"/>
        </w:numPr>
        <w:snapToGrid w:val="0"/>
        <w:spacing w:before="100" w:beforeAutospacing="1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D1742F">
        <w:rPr>
          <w:rFonts w:ascii="Arial" w:eastAsia="Times New Roman" w:hAnsi="Arial" w:cs="Arial"/>
          <w:color w:val="000000"/>
          <w:sz w:val="22"/>
          <w:szCs w:val="22"/>
        </w:rPr>
        <w:t>GREQ does not cover calculus, so the scores may not be as relevant as they seem.</w:t>
      </w:r>
    </w:p>
    <w:p w14:paraId="70A286C8" w14:textId="2CA0B256" w:rsidR="00D1742F" w:rsidRPr="004C63E1" w:rsidRDefault="00D1742F" w:rsidP="004C63E1">
      <w:pPr>
        <w:numPr>
          <w:ilvl w:val="1"/>
          <w:numId w:val="1"/>
        </w:numPr>
        <w:snapToGrid w:val="0"/>
        <w:spacing w:before="100" w:beforeAutospacing="1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>Students may have lacked funds for test preparation materials or courses</w:t>
      </w:r>
    </w:p>
    <w:p w14:paraId="24D4B967" w14:textId="0254A2CF" w:rsidR="00D1742F" w:rsidRPr="00D1742F" w:rsidRDefault="00D1742F" w:rsidP="004C63E1">
      <w:pPr>
        <w:numPr>
          <w:ilvl w:val="1"/>
          <w:numId w:val="1"/>
        </w:numPr>
        <w:snapToGrid w:val="0"/>
        <w:spacing w:before="100" w:beforeAutospacing="1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D1742F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"The article </w:t>
      </w:r>
      <w:r w:rsidRPr="004C63E1">
        <w:rPr>
          <w:rFonts w:ascii="Helvetica" w:eastAsia="Times New Roman" w:hAnsi="Helvetica" w:cs="Times New Roman"/>
          <w:color w:val="000000"/>
          <w:sz w:val="22"/>
          <w:szCs w:val="22"/>
        </w:rPr>
        <w:t xml:space="preserve">[below] </w:t>
      </w:r>
      <w:r w:rsidRPr="00D1742F">
        <w:rPr>
          <w:rFonts w:ascii="Helvetica" w:eastAsia="Times New Roman" w:hAnsi="Helvetica" w:cs="Times New Roman"/>
          <w:color w:val="000000"/>
          <w:sz w:val="22"/>
          <w:szCs w:val="22"/>
        </w:rPr>
        <w:t>corroborates earlier negative findings about the efficacy of the GRE in predicting success. It finds gender differences in GRE Q scores, but no gender differences in completion rates, time to degree, or percentage who left in the first year. There was no relationship between GRE Q scores and PhD completion for women. GRE Q scores were NEGATIVELY associated with PhD completion for men," (Dan Brown, SEFS)  </w:t>
      </w:r>
      <w:hyperlink r:id="rId7" w:tgtFrame="_blank" w:history="1">
        <w:r w:rsidRPr="00D1742F">
          <w:rPr>
            <w:rFonts w:ascii="Helvetica" w:eastAsia="Times New Roman" w:hAnsi="Helvetica" w:cs="Times New Roman"/>
            <w:color w:val="0000FF"/>
            <w:sz w:val="22"/>
            <w:szCs w:val="22"/>
            <w:u w:val="single"/>
          </w:rPr>
          <w:t>ht</w:t>
        </w:r>
        <w:r w:rsidRPr="00D1742F">
          <w:rPr>
            <w:rFonts w:ascii="Helvetica" w:eastAsia="Times New Roman" w:hAnsi="Helvetica" w:cs="Times New Roman"/>
            <w:color w:val="0000FF"/>
            <w:sz w:val="22"/>
            <w:szCs w:val="22"/>
            <w:u w:val="single"/>
          </w:rPr>
          <w:t>t</w:t>
        </w:r>
        <w:r w:rsidRPr="00D1742F">
          <w:rPr>
            <w:rFonts w:ascii="Helvetica" w:eastAsia="Times New Roman" w:hAnsi="Helvetica" w:cs="Times New Roman"/>
            <w:color w:val="0000FF"/>
            <w:sz w:val="22"/>
            <w:szCs w:val="22"/>
            <w:u w:val="single"/>
          </w:rPr>
          <w:t>ps://journals.plos.org/plosone/article?id=10.1371/journal.pone.0206570</w:t>
        </w:r>
      </w:hyperlink>
      <w:r w:rsidRPr="00D1742F">
        <w:rPr>
          <w:rFonts w:ascii="Helvetica" w:eastAsia="Times New Roman" w:hAnsi="Helvetica" w:cs="Times New Roman"/>
          <w:color w:val="000000"/>
          <w:sz w:val="22"/>
          <w:szCs w:val="22"/>
        </w:rPr>
        <w:t>  </w:t>
      </w:r>
    </w:p>
    <w:p w14:paraId="0FD96A7B" w14:textId="77777777" w:rsidR="00D1742F" w:rsidRPr="00D1742F" w:rsidRDefault="00D1742F" w:rsidP="004C63E1">
      <w:pPr>
        <w:numPr>
          <w:ilvl w:val="1"/>
          <w:numId w:val="1"/>
        </w:numPr>
        <w:snapToGrid w:val="0"/>
        <w:spacing w:before="100" w:beforeAutospacing="1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D1742F">
        <w:rPr>
          <w:rFonts w:ascii="Helvetica" w:eastAsia="Times New Roman" w:hAnsi="Helvetica" w:cs="Times New Roman"/>
          <w:color w:val="000000"/>
          <w:sz w:val="22"/>
          <w:szCs w:val="22"/>
        </w:rPr>
        <w:t>Another article which discusses the GRE:  </w:t>
      </w:r>
      <w:hyperlink r:id="rId8" w:tgtFrame="_blank" w:history="1">
        <w:r w:rsidRPr="00D1742F">
          <w:rPr>
            <w:rFonts w:ascii="Helvetica" w:eastAsia="Times New Roman" w:hAnsi="Helvetica" w:cs="Times New Roman"/>
            <w:color w:val="0000FF"/>
            <w:sz w:val="22"/>
            <w:szCs w:val="22"/>
            <w:u w:val="single"/>
          </w:rPr>
          <w:t>https://www.sciencemag.org/careers/2017/06/gres-dont-predict-grad-school-success-what-does</w:t>
        </w:r>
      </w:hyperlink>
    </w:p>
    <w:p w14:paraId="42EC3CA8" w14:textId="63FA5A22" w:rsidR="00D1742F" w:rsidRPr="00D1742F" w:rsidRDefault="00D1742F" w:rsidP="004C63E1">
      <w:pPr>
        <w:numPr>
          <w:ilvl w:val="1"/>
          <w:numId w:val="1"/>
        </w:numPr>
        <w:spacing w:before="100" w:beforeAutospacing="1" w:afterLines="160" w:after="384"/>
        <w:rPr>
          <w:rFonts w:ascii="Helvetica" w:eastAsia="Times New Roman" w:hAnsi="Helvetica" w:cs="Times New Roman"/>
          <w:color w:val="000000"/>
          <w:sz w:val="22"/>
          <w:szCs w:val="22"/>
        </w:rPr>
      </w:pPr>
      <w:r w:rsidRPr="00D1742F">
        <w:rPr>
          <w:rFonts w:ascii="Helvetica" w:eastAsia="Times New Roman" w:hAnsi="Helvetica" w:cs="Times New Roman"/>
          <w:color w:val="000000"/>
          <w:sz w:val="22"/>
          <w:szCs w:val="22"/>
        </w:rPr>
        <w:t>Another article which discusses the GRE: </w:t>
      </w:r>
      <w:hyperlink r:id="rId9" w:tgtFrame="_blank" w:history="1">
        <w:r w:rsidRPr="00D1742F">
          <w:rPr>
            <w:rFonts w:ascii="Helvetica" w:eastAsia="Times New Roman" w:hAnsi="Helvetica" w:cs="Times New Roman"/>
            <w:color w:val="0000FF"/>
            <w:sz w:val="22"/>
            <w:szCs w:val="22"/>
            <w:u w:val="single"/>
          </w:rPr>
          <w:t>http</w:t>
        </w:r>
        <w:r w:rsidRPr="00D1742F">
          <w:rPr>
            <w:rFonts w:ascii="Helvetica" w:eastAsia="Times New Roman" w:hAnsi="Helvetica" w:cs="Times New Roman"/>
            <w:color w:val="0000FF"/>
            <w:sz w:val="22"/>
            <w:szCs w:val="22"/>
            <w:u w:val="single"/>
          </w:rPr>
          <w:t>s</w:t>
        </w:r>
        <w:r w:rsidRPr="00D1742F">
          <w:rPr>
            <w:rFonts w:ascii="Helvetica" w:eastAsia="Times New Roman" w:hAnsi="Helvetica" w:cs="Times New Roman"/>
            <w:color w:val="0000FF"/>
            <w:sz w:val="22"/>
            <w:szCs w:val="22"/>
            <w:u w:val="single"/>
          </w:rPr>
          <w:t>://www.nature.com/n</w:t>
        </w:r>
        <w:r w:rsidRPr="00D1742F">
          <w:rPr>
            <w:rFonts w:ascii="Helvetica" w:eastAsia="Times New Roman" w:hAnsi="Helvetica" w:cs="Times New Roman"/>
            <w:color w:val="0000FF"/>
            <w:sz w:val="22"/>
            <w:szCs w:val="22"/>
            <w:u w:val="single"/>
          </w:rPr>
          <w:t>a</w:t>
        </w:r>
        <w:r w:rsidRPr="00D1742F">
          <w:rPr>
            <w:rFonts w:ascii="Helvetica" w:eastAsia="Times New Roman" w:hAnsi="Helvetica" w:cs="Times New Roman"/>
            <w:color w:val="0000FF"/>
            <w:sz w:val="22"/>
            <w:szCs w:val="22"/>
            <w:u w:val="single"/>
          </w:rPr>
          <w:t>turejobs/science/articles/10.1038/nj7504-303a</w:t>
        </w:r>
      </w:hyperlink>
      <w:r w:rsidRPr="00D1742F">
        <w:rPr>
          <w:rFonts w:ascii="Helvetica" w:eastAsia="Times New Roman" w:hAnsi="Helvetica" w:cs="Times New Roman"/>
          <w:color w:val="000000"/>
          <w:sz w:val="22"/>
          <w:szCs w:val="22"/>
        </w:rPr>
        <w:t>  </w:t>
      </w:r>
    </w:p>
    <w:p w14:paraId="1E703590" w14:textId="58D83E63" w:rsidR="00D1742F" w:rsidRPr="004C63E1" w:rsidRDefault="00A446A3" w:rsidP="004C63E1">
      <w:pPr>
        <w:pStyle w:val="ListParagraph"/>
        <w:numPr>
          <w:ilvl w:val="0"/>
          <w:numId w:val="1"/>
        </w:numPr>
        <w:spacing w:afterLines="160" w:after="384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4C63E1">
        <w:rPr>
          <w:rFonts w:ascii="Arial" w:eastAsia="Times New Roman" w:hAnsi="Arial" w:cs="Arial"/>
          <w:color w:val="000000"/>
          <w:sz w:val="22"/>
          <w:szCs w:val="22"/>
        </w:rPr>
        <w:t>Noell</w:t>
      </w:r>
      <w:proofErr w:type="spellEnd"/>
      <w:r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 sent out a list of students who self-identified as members of historically underrepresented ethnic/racial groups in geoscience.</w:t>
      </w:r>
      <w:proofErr w:type="spellStart"/>
      <w:r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End"/>
      <w:r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Review those applicants first! </w:t>
      </w:r>
      <w:r w:rsidR="00D1742F" w:rsidRPr="004C63E1">
        <w:rPr>
          <w:rFonts w:ascii="Arial" w:eastAsia="Times New Roman" w:hAnsi="Arial" w:cs="Arial"/>
          <w:color w:val="000000"/>
          <w:sz w:val="22"/>
          <w:szCs w:val="22"/>
        </w:rPr>
        <w:t xml:space="preserve">Additionally, our department was not allocated an ARCS fellowship for this recruiting cycle, so the only ARCS funding we will have access to is the Diversity ARCS. </w:t>
      </w:r>
    </w:p>
    <w:sectPr w:rsidR="00D1742F" w:rsidRPr="004C63E1" w:rsidSect="00DA2B5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DA32E" w14:textId="77777777" w:rsidR="00514B93" w:rsidRDefault="00514B93" w:rsidP="004C63E1">
      <w:r>
        <w:separator/>
      </w:r>
    </w:p>
  </w:endnote>
  <w:endnote w:type="continuationSeparator" w:id="0">
    <w:p w14:paraId="7B017AAA" w14:textId="77777777" w:rsidR="00514B93" w:rsidRDefault="00514B93" w:rsidP="004C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65B0A" w14:textId="77777777" w:rsidR="00514B93" w:rsidRDefault="00514B93" w:rsidP="004C63E1">
      <w:r>
        <w:separator/>
      </w:r>
    </w:p>
  </w:footnote>
  <w:footnote w:type="continuationSeparator" w:id="0">
    <w:p w14:paraId="00C846AA" w14:textId="77777777" w:rsidR="00514B93" w:rsidRDefault="00514B93" w:rsidP="004C6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785C1" w14:textId="77777777" w:rsidR="004C63E1" w:rsidRPr="004C63E1" w:rsidRDefault="004C63E1" w:rsidP="004C63E1">
    <w:pPr>
      <w:spacing w:afterLines="160" w:after="384"/>
      <w:rPr>
        <w:sz w:val="22"/>
        <w:szCs w:val="22"/>
      </w:rPr>
    </w:pPr>
    <w:r w:rsidRPr="004C63E1">
      <w:rPr>
        <w:sz w:val="22"/>
        <w:szCs w:val="22"/>
      </w:rPr>
      <w:t>Tips for reducing bias in evaluating applications for graduate admissions….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D2622"/>
    <w:multiLevelType w:val="multilevel"/>
    <w:tmpl w:val="49E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2F"/>
    <w:rsid w:val="00446E3C"/>
    <w:rsid w:val="004C63E1"/>
    <w:rsid w:val="00514B93"/>
    <w:rsid w:val="00A446A3"/>
    <w:rsid w:val="00D1742F"/>
    <w:rsid w:val="00DA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E4CC8"/>
  <w15:chartTrackingRefBased/>
  <w15:docId w15:val="{B9BDB223-AE33-FD45-8F73-4296682E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4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74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46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6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3E1"/>
  </w:style>
  <w:style w:type="paragraph" w:styleId="Footer">
    <w:name w:val="footer"/>
    <w:basedOn w:val="Normal"/>
    <w:link w:val="FooterChar"/>
    <w:uiPriority w:val="99"/>
    <w:unhideWhenUsed/>
    <w:rsid w:val="004C6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mag.org/careers/2017/06/gres-dont-predict-grad-school-success-what-do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s.plos.org/plosone/article?id=10.1371/journal.pone.02065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naturejobs/science/articles/10.1038/nj7504-30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W. Huntington</dc:creator>
  <cp:keywords/>
  <dc:description/>
  <cp:lastModifiedBy>Katharine W. Huntington</cp:lastModifiedBy>
  <cp:revision>3</cp:revision>
  <dcterms:created xsi:type="dcterms:W3CDTF">2020-01-10T22:06:00Z</dcterms:created>
  <dcterms:modified xsi:type="dcterms:W3CDTF">2020-01-10T22:25:00Z</dcterms:modified>
</cp:coreProperties>
</file>